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66600" w14:textId="77777777" w:rsidR="00C170FB" w:rsidRPr="002F2538" w:rsidRDefault="00C170FB" w:rsidP="00C170FB">
      <w:pPr>
        <w:pStyle w:val="a4"/>
        <w:spacing w:before="0" w:after="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2F2538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04540CEF" w14:textId="77777777" w:rsidR="00C170FB" w:rsidRPr="002F2538" w:rsidRDefault="00C170FB" w:rsidP="00C170FB">
      <w:pPr>
        <w:pStyle w:val="a4"/>
        <w:autoSpaceDE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F2538">
        <w:rPr>
          <w:rStyle w:val="a3"/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граждан»</w:t>
      </w:r>
      <w:r w:rsidRPr="007C12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780E326" w14:textId="77777777" w:rsidR="00C170FB" w:rsidRPr="00E63829" w:rsidRDefault="00C170FB" w:rsidP="00C170FB">
      <w:pPr>
        <w:pStyle w:val="a4"/>
        <w:autoSpaceDE w:val="0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0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0"/>
        <w:gridCol w:w="6375"/>
      </w:tblGrid>
      <w:tr w:rsidR="00C170FB" w:rsidRPr="00E63829" w14:paraId="1ECA6096" w14:textId="77777777" w:rsidTr="00BB7C26">
        <w:trPr>
          <w:trHeight w:val="40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6F6BC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 w:rsidRPr="00E63829">
              <w:rPr>
                <w:color w:val="000000"/>
              </w:rPr>
              <w:t>Ответственный исполнитель программы</w:t>
            </w:r>
          </w:p>
          <w:p w14:paraId="38843A2D" w14:textId="77777777" w:rsidR="00C170FB" w:rsidRPr="00E63829" w:rsidRDefault="00C170FB" w:rsidP="00BB7C26">
            <w:pPr>
              <w:autoSpaceDE w:val="0"/>
              <w:jc w:val="both"/>
            </w:pP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ACCF" w14:textId="77777777" w:rsidR="00C170FB" w:rsidRPr="00351D83" w:rsidRDefault="00C170FB" w:rsidP="00BB7C26">
            <w:pPr>
              <w:snapToGrid w:val="0"/>
              <w:jc w:val="both"/>
            </w:pPr>
            <w:r w:rsidRPr="00351D83">
              <w:t xml:space="preserve">Администрация </w:t>
            </w:r>
            <w:proofErr w:type="spellStart"/>
            <w:r>
              <w:t>Гуевского</w:t>
            </w:r>
            <w:proofErr w:type="spellEnd"/>
            <w:r w:rsidRPr="00351D83">
              <w:t xml:space="preserve"> сельсовета </w:t>
            </w:r>
            <w:r>
              <w:t>Суджанского района</w:t>
            </w:r>
          </w:p>
        </w:tc>
      </w:tr>
      <w:tr w:rsidR="00C170FB" w:rsidRPr="00E63829" w14:paraId="7C8E01CC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816BC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E63829">
              <w:rPr>
                <w:color w:val="000000"/>
              </w:rPr>
              <w:t>Соисполнители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05A2" w14:textId="77777777" w:rsidR="00C170FB" w:rsidRPr="00351D83" w:rsidRDefault="00C170FB" w:rsidP="00BB7C26">
            <w:pPr>
              <w:snapToGrid w:val="0"/>
              <w:jc w:val="both"/>
            </w:pPr>
            <w:r w:rsidRPr="00351D83">
              <w:t>отсутствуют</w:t>
            </w:r>
          </w:p>
        </w:tc>
      </w:tr>
      <w:tr w:rsidR="00C170FB" w:rsidRPr="00E63829" w14:paraId="6FC27798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7E92A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E63829">
              <w:rPr>
                <w:color w:val="000000"/>
              </w:rPr>
              <w:t>Участники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EC6A" w14:textId="77777777" w:rsidR="00C170FB" w:rsidRPr="00351D83" w:rsidRDefault="00C170FB" w:rsidP="00BB7C26">
            <w:pPr>
              <w:snapToGrid w:val="0"/>
              <w:jc w:val="both"/>
            </w:pPr>
            <w:r w:rsidRPr="00351D83">
              <w:t>отсутствуют</w:t>
            </w:r>
          </w:p>
        </w:tc>
      </w:tr>
      <w:tr w:rsidR="00C170FB" w:rsidRPr="00E63829" w14:paraId="2F5EFB50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3014D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rFonts w:eastAsia="Calibri"/>
                <w:kern w:val="1"/>
              </w:rPr>
            </w:pPr>
            <w:r w:rsidRPr="00E63829">
              <w:rPr>
                <w:color w:val="000000"/>
              </w:rPr>
              <w:t xml:space="preserve">Подпрограммы программы 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59CD8" w14:textId="77777777" w:rsidR="00C170FB" w:rsidRPr="00E63829" w:rsidRDefault="00C170FB" w:rsidP="00BB7C26">
            <w:pPr>
              <w:autoSpaceDE w:val="0"/>
              <w:snapToGrid w:val="0"/>
              <w:jc w:val="both"/>
            </w:pPr>
            <w:r>
              <w:rPr>
                <w:rFonts w:eastAsia="Calibri"/>
                <w:kern w:val="1"/>
              </w:rPr>
              <w:t>подпрограмма «</w:t>
            </w:r>
            <w:r w:rsidRPr="00E63829">
              <w:rPr>
                <w:rFonts w:eastAsia="Calibri"/>
                <w:kern w:val="1"/>
              </w:rPr>
              <w:t>Развитие мер социальной поддержки отдельных категорий граждан</w:t>
            </w:r>
            <w:r>
              <w:rPr>
                <w:rFonts w:eastAsia="Calibri"/>
                <w:kern w:val="1"/>
              </w:rPr>
              <w:t xml:space="preserve">» муниципальной программы «Социальная поддержка граждан» </w:t>
            </w:r>
          </w:p>
        </w:tc>
      </w:tr>
      <w:tr w:rsidR="00C170FB" w:rsidRPr="00E63829" w14:paraId="7733926A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BF4AA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 w:rsidRPr="00E63829">
              <w:t xml:space="preserve">Программно-целевые </w:t>
            </w:r>
          </w:p>
          <w:p w14:paraId="36461E56" w14:textId="77777777" w:rsidR="00C170FB" w:rsidRPr="00E63829" w:rsidRDefault="00C170FB" w:rsidP="00BB7C26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E63829">
              <w:t>инструменты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9765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color w:val="000000"/>
              </w:rPr>
              <w:t>о</w:t>
            </w:r>
            <w:r w:rsidRPr="00E63829">
              <w:rPr>
                <w:color w:val="000000"/>
              </w:rPr>
              <w:t>тсутствуют</w:t>
            </w:r>
          </w:p>
          <w:p w14:paraId="06EAC27B" w14:textId="77777777" w:rsidR="00C170FB" w:rsidRPr="00E63829" w:rsidRDefault="00C170FB" w:rsidP="00BB7C26">
            <w:pPr>
              <w:autoSpaceDE w:val="0"/>
              <w:jc w:val="both"/>
            </w:pPr>
          </w:p>
        </w:tc>
      </w:tr>
      <w:tr w:rsidR="00C170FB" w:rsidRPr="00E63829" w14:paraId="7139960A" w14:textId="77777777" w:rsidTr="00BB7C26"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4F362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E63829">
              <w:rPr>
                <w:color w:val="000000"/>
              </w:rPr>
              <w:t>Цели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A847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color w:val="000000"/>
              </w:rPr>
              <w:t>с</w:t>
            </w:r>
            <w:r w:rsidRPr="00E63829">
              <w:rPr>
                <w:rFonts w:eastAsia="Calibri"/>
                <w:color w:val="000000"/>
              </w:rPr>
              <w:t>оздание условий для роста благосостояния граждан</w:t>
            </w:r>
          </w:p>
        </w:tc>
      </w:tr>
      <w:tr w:rsidR="00C170FB" w:rsidRPr="00E63829" w14:paraId="0B84E40B" w14:textId="77777777" w:rsidTr="00BB7C26"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DED33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 w:rsidRPr="00E63829">
              <w:rPr>
                <w:color w:val="000000"/>
              </w:rPr>
              <w:t>Задачи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A932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>
              <w:t>р</w:t>
            </w:r>
            <w:r w:rsidRPr="00E63829">
              <w:t xml:space="preserve">еализация прав </w:t>
            </w:r>
            <w:r>
              <w:t xml:space="preserve">муниципальных служащих и </w:t>
            </w:r>
            <w:r w:rsidRPr="00E63829">
              <w:t>выборных должностны</w:t>
            </w:r>
            <w:r>
              <w:t>х лиц на пенсионное обеспечение</w:t>
            </w:r>
          </w:p>
        </w:tc>
      </w:tr>
      <w:tr w:rsidR="00C170FB" w:rsidRPr="00E63829" w14:paraId="4D8FEE43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D3DA9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 w:rsidRPr="00E63829">
              <w:rPr>
                <w:color w:val="000000"/>
              </w:rPr>
              <w:t>Целевые индикаторы и показатели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330B2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>
              <w:t>с</w:t>
            </w:r>
            <w:r w:rsidRPr="00E63829">
              <w:t xml:space="preserve">облюдение сроков по назначению, расчету (перерасчету) </w:t>
            </w:r>
            <w:r>
              <w:t>и выплате пенсии за выслугу лет (доплаты  к пенсии)</w:t>
            </w:r>
          </w:p>
        </w:tc>
      </w:tr>
      <w:tr w:rsidR="00C170FB" w:rsidRPr="00E63829" w14:paraId="2E8DEA6D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452C3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E63829">
              <w:rPr>
                <w:color w:val="000000"/>
              </w:rPr>
              <w:t>Этапы и сроки реализации программы</w:t>
            </w:r>
          </w:p>
          <w:p w14:paraId="11D7D530" w14:textId="77777777" w:rsidR="00C170FB" w:rsidRPr="00E63829" w:rsidRDefault="00C170FB" w:rsidP="00BB7C26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5DD1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color w:val="000000"/>
              </w:rPr>
              <w:t xml:space="preserve">Программа реализуется в один этап </w:t>
            </w:r>
          </w:p>
        </w:tc>
      </w:tr>
      <w:tr w:rsidR="00C170FB" w:rsidRPr="00E63829" w14:paraId="2DE73397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726BA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E63829">
              <w:rPr>
                <w:color w:val="000000"/>
              </w:rPr>
              <w:t>Объемы бюджетных ассигнований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559DB" w14:textId="77777777" w:rsidR="00C170FB" w:rsidRPr="00EB5AD0" w:rsidRDefault="00C170FB" w:rsidP="00BB7C26">
            <w:pPr>
              <w:snapToGrid w:val="0"/>
              <w:jc w:val="both"/>
            </w:pPr>
            <w:r>
              <w:t>О</w:t>
            </w:r>
            <w:r w:rsidRPr="00351D83">
              <w:t>бъем бюджетных ассигнований на реализацию мероприятий муниципальной Программы</w:t>
            </w:r>
            <w:r>
              <w:t>, предполагаемых</w:t>
            </w:r>
            <w:r w:rsidRPr="00351D83">
              <w:t xml:space="preserve"> за счет средств местного бюджета</w:t>
            </w:r>
            <w:r>
              <w:t>,</w:t>
            </w:r>
            <w:r w:rsidRPr="00351D83">
              <w:t xml:space="preserve"> устанавливается и утверждается решением Собрания депутатов </w:t>
            </w:r>
            <w:proofErr w:type="spellStart"/>
            <w:r>
              <w:t>Гуевского</w:t>
            </w:r>
            <w:proofErr w:type="spellEnd"/>
            <w:r w:rsidRPr="00351D83">
              <w:t xml:space="preserve"> сельсовета </w:t>
            </w:r>
            <w:r w:rsidRPr="00EB5AD0">
              <w:t>Суджанского района о местном бюджете на очередной финансовый год и плановый период.</w:t>
            </w:r>
          </w:p>
          <w:p w14:paraId="4C94E772" w14:textId="08DDC578" w:rsidR="00C170FB" w:rsidRPr="003C46BE" w:rsidRDefault="00C170FB" w:rsidP="00BB7C26">
            <w:pPr>
              <w:jc w:val="both"/>
            </w:pPr>
            <w:r w:rsidRPr="00EB5AD0">
              <w:t xml:space="preserve">Общий объем финансирования муниципальной программы составит </w:t>
            </w:r>
            <w:r w:rsidRPr="003C46BE">
              <w:t xml:space="preserve">– </w:t>
            </w:r>
            <w:r w:rsidR="003C46BE" w:rsidRPr="003C46BE">
              <w:t>130,0</w:t>
            </w:r>
            <w:r w:rsidRPr="003C46BE">
              <w:t xml:space="preserve"> </w:t>
            </w:r>
            <w:proofErr w:type="spellStart"/>
            <w:r w:rsidRPr="003C46BE">
              <w:t>тыс.рублей</w:t>
            </w:r>
            <w:proofErr w:type="spellEnd"/>
            <w:r w:rsidRPr="003C46BE">
              <w:t>,</w:t>
            </w:r>
          </w:p>
          <w:p w14:paraId="077FE5CC" w14:textId="77777777" w:rsidR="00C170FB" w:rsidRPr="003C46BE" w:rsidRDefault="00C170FB" w:rsidP="00BB7C26">
            <w:pPr>
              <w:jc w:val="both"/>
            </w:pPr>
            <w:r w:rsidRPr="003C46BE">
              <w:t>в т.ч. по годам:</w:t>
            </w:r>
          </w:p>
          <w:p w14:paraId="509F6D5E" w14:textId="3949E286" w:rsidR="00C170FB" w:rsidRPr="003C46BE" w:rsidRDefault="00C170FB" w:rsidP="00BB7C26">
            <w:pPr>
              <w:jc w:val="both"/>
            </w:pPr>
            <w:r w:rsidRPr="003C46BE">
              <w:t>2025 год – 1</w:t>
            </w:r>
            <w:r w:rsidR="003C46BE" w:rsidRPr="003C46BE">
              <w:t>30,0</w:t>
            </w:r>
            <w:r w:rsidRPr="003C46BE">
              <w:t>тыс. рублей,</w:t>
            </w:r>
          </w:p>
          <w:p w14:paraId="0F339A13" w14:textId="41334145" w:rsidR="00C170FB" w:rsidRPr="003C46BE" w:rsidRDefault="00C170FB" w:rsidP="00BB7C26">
            <w:pPr>
              <w:jc w:val="both"/>
            </w:pPr>
            <w:r w:rsidRPr="003C46BE">
              <w:t xml:space="preserve">2026 год – </w:t>
            </w:r>
            <w:r w:rsidR="003C46BE">
              <w:t>0,0</w:t>
            </w:r>
            <w:r w:rsidRPr="003C46BE">
              <w:t xml:space="preserve"> </w:t>
            </w:r>
            <w:proofErr w:type="spellStart"/>
            <w:r w:rsidRPr="003C46BE">
              <w:t>тыс.рублей</w:t>
            </w:r>
            <w:proofErr w:type="spellEnd"/>
            <w:r w:rsidRPr="003C46BE">
              <w:t>,</w:t>
            </w:r>
          </w:p>
          <w:p w14:paraId="49AA8618" w14:textId="363CE3DD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 w:rsidRPr="003C46BE">
              <w:t xml:space="preserve">2027 год – </w:t>
            </w:r>
            <w:r w:rsidR="003C46BE">
              <w:t>0,0</w:t>
            </w:r>
            <w:r w:rsidRPr="003C46BE">
              <w:t xml:space="preserve"> </w:t>
            </w:r>
            <w:proofErr w:type="spellStart"/>
            <w:r w:rsidRPr="003C46BE">
              <w:t>тыс.рублей</w:t>
            </w:r>
            <w:proofErr w:type="spellEnd"/>
          </w:p>
        </w:tc>
      </w:tr>
      <w:tr w:rsidR="00C170FB" w:rsidRPr="00E63829" w14:paraId="1CB529E6" w14:textId="77777777" w:rsidTr="00BB7C26">
        <w:trPr>
          <w:trHeight w:val="40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2FEC6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</w:pPr>
            <w:r w:rsidRPr="00E63829">
              <w:t>Ожидаемые результаты реализации программы</w:t>
            </w:r>
          </w:p>
        </w:tc>
        <w:tc>
          <w:tcPr>
            <w:tcW w:w="6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4C062" w14:textId="77777777" w:rsidR="00C170FB" w:rsidRPr="00E63829" w:rsidRDefault="00C170FB" w:rsidP="00BB7C26">
            <w:pPr>
              <w:shd w:val="clear" w:color="auto" w:fill="FFFFFF"/>
              <w:autoSpaceDE w:val="0"/>
              <w:snapToGrid w:val="0"/>
              <w:jc w:val="both"/>
              <w:rPr>
                <w:spacing w:val="-4"/>
              </w:rPr>
            </w:pPr>
            <w:r>
              <w:rPr>
                <w:spacing w:val="-4"/>
              </w:rPr>
              <w:t>в</w:t>
            </w:r>
            <w:r w:rsidRPr="00E63829">
              <w:rPr>
                <w:spacing w:val="-4"/>
              </w:rPr>
              <w:t xml:space="preserve">ыполнение всех количественных и качественных показателей по </w:t>
            </w:r>
            <w:r w:rsidRPr="00E63829">
              <w:t xml:space="preserve">выплате </w:t>
            </w:r>
            <w:r>
              <w:t>пенсии</w:t>
            </w:r>
            <w:r w:rsidRPr="00E63829">
              <w:t xml:space="preserve"> за выслугу лет</w:t>
            </w:r>
            <w:r w:rsidRPr="00E6382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(</w:t>
            </w:r>
            <w:r w:rsidRPr="00E63829">
              <w:t>ежемесячной доплаты к пенсии</w:t>
            </w:r>
            <w:r>
              <w:t>) муниципальным служащим (выборным должностным лицам)</w:t>
            </w:r>
          </w:p>
        </w:tc>
      </w:tr>
    </w:tbl>
    <w:p w14:paraId="6D151C2B" w14:textId="77777777" w:rsidR="00C170FB" w:rsidRPr="00E63829" w:rsidRDefault="00C170FB" w:rsidP="00C170FB">
      <w:pPr>
        <w:jc w:val="center"/>
      </w:pPr>
    </w:p>
    <w:p w14:paraId="5DE696A1" w14:textId="77777777" w:rsidR="00C170FB" w:rsidRPr="00351D83" w:rsidRDefault="00C170FB" w:rsidP="00C170FB">
      <w:pPr>
        <w:autoSpaceDE w:val="0"/>
        <w:jc w:val="center"/>
      </w:pPr>
    </w:p>
    <w:p w14:paraId="1DD7DC1F" w14:textId="77777777" w:rsidR="00ED370B" w:rsidRDefault="00ED370B"/>
    <w:sectPr w:rsidR="00ED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4F"/>
    <w:rsid w:val="0023764F"/>
    <w:rsid w:val="003C46BE"/>
    <w:rsid w:val="00C170FB"/>
    <w:rsid w:val="00ED370B"/>
    <w:rsid w:val="00FB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D3FC"/>
  <w15:chartTrackingRefBased/>
  <w15:docId w15:val="{8EE1A231-DE5B-4DF6-9796-F44AE7DA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170FB"/>
    <w:rPr>
      <w:b/>
      <w:bCs/>
    </w:rPr>
  </w:style>
  <w:style w:type="paragraph" w:customStyle="1" w:styleId="a4">
    <w:basedOn w:val="a"/>
    <w:next w:val="a5"/>
    <w:uiPriority w:val="99"/>
    <w:rsid w:val="00C170FB"/>
    <w:pPr>
      <w:spacing w:before="280" w:after="280"/>
    </w:pPr>
    <w:rPr>
      <w:rFonts w:ascii="Arial" w:hAnsi="Arial" w:cs="Arial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17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2024-11-13T09:57:00Z</dcterms:created>
  <dcterms:modified xsi:type="dcterms:W3CDTF">2024-11-14T10:47:00Z</dcterms:modified>
</cp:coreProperties>
</file>